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3BA4B" w14:textId="77777777" w:rsidR="006E1189" w:rsidRDefault="00727C6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0E4EAD96" w14:textId="77777777" w:rsidR="006E1189" w:rsidRDefault="00727C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575E97" w14:textId="05E7FD49" w:rsidR="006E1189" w:rsidRPr="002A50C3" w:rsidRDefault="00727C62" w:rsidP="002A50C3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D0068">
        <w:rPr>
          <w:rFonts w:ascii="Corbel" w:hAnsi="Corbel"/>
          <w:b/>
          <w:i/>
          <w:smallCaps/>
          <w:sz w:val="24"/>
          <w:szCs w:val="24"/>
        </w:rPr>
        <w:t>2022-2027</w:t>
      </w:r>
    </w:p>
    <w:p w14:paraId="2E685338" w14:textId="1755BF5C" w:rsidR="00B24DD9" w:rsidRDefault="00727C6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  <w:t>(skrajne daty)</w:t>
      </w:r>
    </w:p>
    <w:p w14:paraId="3CD48545" w14:textId="4C821BB4" w:rsidR="006E1189" w:rsidRDefault="00727C62" w:rsidP="00B24DD9">
      <w:pPr>
        <w:spacing w:after="0" w:line="240" w:lineRule="exact"/>
        <w:ind w:left="2836" w:firstLine="709"/>
        <w:jc w:val="both"/>
      </w:pPr>
      <w:r>
        <w:rPr>
          <w:rFonts w:ascii="Corbel" w:hAnsi="Corbel"/>
          <w:sz w:val="20"/>
          <w:szCs w:val="20"/>
        </w:rPr>
        <w:t xml:space="preserve">Rok akademicki </w:t>
      </w:r>
      <w:r w:rsidR="00730020">
        <w:rPr>
          <w:rFonts w:ascii="Corbel" w:hAnsi="Corbel"/>
          <w:sz w:val="20"/>
          <w:szCs w:val="20"/>
        </w:rPr>
        <w:t>2025</w:t>
      </w:r>
      <w:r w:rsidR="00AD0068">
        <w:rPr>
          <w:rFonts w:ascii="Corbel" w:hAnsi="Corbel"/>
          <w:sz w:val="20"/>
          <w:szCs w:val="20"/>
        </w:rPr>
        <w:t>/2026</w:t>
      </w:r>
      <w:bookmarkStart w:id="0" w:name="_GoBack"/>
      <w:bookmarkEnd w:id="0"/>
    </w:p>
    <w:p w14:paraId="40098DAB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34F6" w14:textId="77777777" w:rsidR="006E1189" w:rsidRPr="00B24DD9" w:rsidRDefault="00727C6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24DD9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1026" w14:textId="70144ACE" w:rsidR="006E1189" w:rsidRDefault="006E118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189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C978" w14:textId="0F77462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6E1189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F7C4" w14:textId="713731D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Nauk Prawnych</w:t>
            </w:r>
            <w:r w:rsidR="002B5ED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/ </w:t>
            </w:r>
            <w:r w:rsidR="00826BF3">
              <w:rPr>
                <w:rFonts w:ascii="Corbel" w:hAnsi="Corbel"/>
                <w:b w:val="0"/>
                <w:bCs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554D" w14:textId="6CAE1CA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E1189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667D" w14:textId="37658A4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E1189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</w:p>
        </w:tc>
      </w:tr>
      <w:tr w:rsidR="006E1189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9431" w14:textId="5048503B" w:rsidR="006E1189" w:rsidRDefault="003A3441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CF0B" w14:textId="0802A68F" w:rsidR="006E1189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VII</w:t>
            </w:r>
          </w:p>
        </w:tc>
      </w:tr>
      <w:tr w:rsidR="006E1189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6493" w14:textId="77777777" w:rsidR="006E1189" w:rsidRDefault="00727C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E1B6" w14:textId="46CCB6D7" w:rsidR="006E1189" w:rsidRDefault="00727C62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826BF3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Default="00727C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2492F8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14:paraId="6354E17D" w14:textId="77777777" w:rsidTr="00B24DD9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B24DD9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B5266" w14:textId="2F29F5B3" w:rsidR="006E1189" w:rsidRDefault="00DB5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F2AA" w14:textId="7F88EC80" w:rsidR="006E1189" w:rsidRDefault="006E1189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34E8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7741" w14:textId="699E9083" w:rsidR="006E1189" w:rsidRDefault="00E91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BE3B1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A024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70AD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7066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9A79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EE3E" w14:textId="031AD579" w:rsidR="006E1189" w:rsidRDefault="00DB5406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8EEF31" w14:textId="77777777" w:rsidR="006E1189" w:rsidRDefault="006E11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56370C33" w:rsidR="006E1189" w:rsidRDefault="00DB540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DD9">
        <w:rPr>
          <w:rFonts w:ascii="Corbel" w:eastAsia="MS Gothic" w:hAnsi="Corbel" w:cs="MS Gothic"/>
          <w:bCs/>
          <w:szCs w:val="24"/>
        </w:rPr>
        <w:t>x</w:t>
      </w:r>
      <w:r>
        <w:rPr>
          <w:rFonts w:ascii="MS Gothic" w:eastAsia="MS Gothic" w:hAnsi="MS Gothic" w:cs="MS Gothic"/>
          <w:bCs/>
          <w:szCs w:val="24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77777777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B24DD9">
        <w:rPr>
          <w:rFonts w:ascii="Corbel" w:hAnsi="Corbel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6CC51392" w:rsidR="006E1189" w:rsidRDefault="00B24DD9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727C62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14:paraId="5B105618" w14:textId="29332218" w:rsidR="006E1189" w:rsidRDefault="00E9138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14:paraId="1CC3C7CA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44788" w14:textId="5F8CBB94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3504FA34" w14:textId="77777777" w:rsidR="00B24DD9" w:rsidRDefault="00B24DD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05C0843" w14:textId="77777777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77777777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E1B14F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14:paraId="7208255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C2DB7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B5CC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537B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CCEE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119E" w14:textId="2D50FA9B" w:rsidR="006E1189" w:rsidRDefault="00060DB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</w:t>
            </w:r>
            <w:r w:rsidR="00727C62">
              <w:rPr>
                <w:rFonts w:ascii="Corbel" w:eastAsia="Cambria" w:hAnsi="Corbel"/>
                <w:sz w:val="24"/>
                <w:szCs w:val="24"/>
              </w:rPr>
              <w:t xml:space="preserve">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FCB18" w14:textId="151DFE26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K_W01</w:t>
            </w:r>
            <w:r w:rsidR="004B12E4">
              <w:rPr>
                <w:rFonts w:ascii="Corbel" w:eastAsia="Cambria" w:hAnsi="Corbel"/>
                <w:sz w:val="24"/>
                <w:szCs w:val="24"/>
              </w:rPr>
              <w:t>, K_W06</w:t>
            </w:r>
            <w:r w:rsidR="00584362">
              <w:rPr>
                <w:rFonts w:ascii="Corbel" w:eastAsia="Cambria" w:hAnsi="Corbel"/>
                <w:sz w:val="24"/>
                <w:szCs w:val="24"/>
              </w:rPr>
              <w:t xml:space="preserve">, K_W07, K_W09, K_W10, </w:t>
            </w:r>
          </w:p>
        </w:tc>
      </w:tr>
      <w:tr w:rsidR="006E1189" w14:paraId="4137215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426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F6A4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970B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7F34E06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54B18C06" w14:textId="77777777" w:rsidR="00584362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K_W12</w:t>
            </w:r>
          </w:p>
          <w:p w14:paraId="7A8E53F0" w14:textId="4885EBBD" w:rsidR="00584362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350F3B7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CF1A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71EDE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FF64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732D89E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8AC5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7EE87" w14:textId="6DAF6F5C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eastAsia="Cambria" w:hAnsi="Corbel"/>
                <w:sz w:val="24"/>
                <w:szCs w:val="24"/>
              </w:rPr>
              <w:t xml:space="preserve"> – wie jak i gdzie je zastosować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68CFA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217C721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20768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076E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10152" w14:textId="715B1980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  <w:r w:rsidR="00A56C86">
              <w:rPr>
                <w:rFonts w:ascii="Corbel" w:hAnsi="Corbel"/>
                <w:sz w:val="24"/>
                <w:szCs w:val="24"/>
              </w:rPr>
              <w:t xml:space="preserve">, K_U04, </w:t>
            </w:r>
            <w:r w:rsidR="00A56C86" w:rsidRPr="00A56C8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E1189" w14:paraId="0576E38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CB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F298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BF68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14:paraId="4A725D0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923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CA00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5E88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6E1189" w14:paraId="2906EF7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886CE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84076" w14:textId="78CEE827" w:rsidR="006E1189" w:rsidRDefault="00060D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Sprawnie i umiejętnie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wypowi</w:t>
            </w:r>
            <w:r>
              <w:rPr>
                <w:rFonts w:ascii="Corbel" w:hAnsi="Corbel"/>
                <w:sz w:val="24"/>
                <w:szCs w:val="24"/>
              </w:rPr>
              <w:t xml:space="preserve">ada się </w:t>
            </w:r>
            <w:r w:rsidR="00727C62">
              <w:rPr>
                <w:rFonts w:ascii="Corbel" w:hAnsi="Corbel"/>
                <w:sz w:val="24"/>
                <w:szCs w:val="24"/>
              </w:rPr>
              <w:t>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DCE7B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6E1189" w14:paraId="5D9BD05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9D9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2AEC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1A01B" w14:textId="77777777" w:rsidR="006E1189" w:rsidRDefault="00446137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K_U06, </w:t>
            </w:r>
            <w:r w:rsidR="00727C62">
              <w:rPr>
                <w:rFonts w:ascii="Corbel" w:eastAsia="Cambria" w:hAnsi="Corbel"/>
                <w:sz w:val="24"/>
                <w:szCs w:val="24"/>
              </w:rPr>
              <w:t>K_U09</w:t>
            </w:r>
            <w:r>
              <w:rPr>
                <w:rFonts w:ascii="Corbel" w:eastAsia="Cambria" w:hAnsi="Corbel"/>
                <w:sz w:val="24"/>
                <w:szCs w:val="24"/>
              </w:rPr>
              <w:t>, K_U12, K_U13</w:t>
            </w:r>
          </w:p>
          <w:p w14:paraId="0C66C4E2" w14:textId="483E584C" w:rsidR="00446137" w:rsidRDefault="0044613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6E1189" w14:paraId="52391FB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57DD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8256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  <w:p w14:paraId="007CD4B1" w14:textId="77777777" w:rsidR="006E1189" w:rsidRDefault="006E11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84DA9" w14:textId="3899E4FD" w:rsidR="006E1189" w:rsidRDefault="004461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K_U15, 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K_U17 </w:t>
            </w:r>
          </w:p>
          <w:p w14:paraId="03C8318E" w14:textId="60EE5D74" w:rsidR="006E1189" w:rsidRDefault="006E11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221B568" w14:textId="77777777" w:rsidR="006E1189" w:rsidRDefault="006E11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7C7FA51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172A9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98F5" w14:textId="039324F6" w:rsidR="006E1189" w:rsidRDefault="00727C62" w:rsidP="001B61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</w:t>
            </w:r>
            <w:r w:rsidR="001B615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praktyczną</w:t>
            </w:r>
            <w:r w:rsidR="001B615D">
              <w:rPr>
                <w:rFonts w:ascii="Corbel" w:hAnsi="Corbel"/>
                <w:sz w:val="24"/>
                <w:szCs w:val="24"/>
              </w:rPr>
              <w:t>, etyczną</w:t>
            </w:r>
            <w:r>
              <w:rPr>
                <w:rFonts w:ascii="Corbel" w:hAnsi="Corbel"/>
                <w:sz w:val="24"/>
                <w:szCs w:val="24"/>
              </w:rPr>
              <w:t xml:space="preserve"> w pracy urzędniczej w różnych podmiotach, organach i instytucjach administracji publicznej</w:t>
            </w:r>
            <w:r w:rsidR="001B615D">
              <w:rPr>
                <w:rFonts w:ascii="Corbel" w:hAnsi="Corbel"/>
                <w:sz w:val="24"/>
                <w:szCs w:val="24"/>
              </w:rPr>
              <w:t>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9B7FC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  <w:p w14:paraId="6B14153D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6E1189" w14:paraId="55EDA3A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C6A3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2E517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do pogłębiania wiedzy i nadążania </w:t>
            </w:r>
          </w:p>
          <w:p w14:paraId="110B96E6" w14:textId="696245FC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 zmianami prawa</w:t>
            </w:r>
            <w:r w:rsidR="001B615D">
              <w:rPr>
                <w:rFonts w:ascii="Corbel" w:hAnsi="Corbel"/>
                <w:sz w:val="24"/>
                <w:szCs w:val="24"/>
              </w:rPr>
              <w:t>. Podejmuje działania na rzecz podniesienia społecznej świadomości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11309" w14:textId="77777777" w:rsidR="006E1189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K_W13, </w:t>
            </w:r>
            <w:r w:rsidR="00727C62">
              <w:rPr>
                <w:rFonts w:ascii="Corbel" w:hAnsi="Corbel"/>
                <w:sz w:val="24"/>
                <w:szCs w:val="24"/>
              </w:rPr>
              <w:t>K_K06</w:t>
            </w:r>
            <w:r w:rsidR="00446137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04A8AC7B" w14:textId="36A52BEA" w:rsidR="00446137" w:rsidRDefault="004461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="00446137" w14:paraId="42CD08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47A45" w14:textId="43551FB0" w:rsidR="00446137" w:rsidRDefault="00446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6137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37052" w14:textId="2F548029" w:rsidR="00446137" w:rsidRDefault="004461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137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F007" w14:textId="3A4B2E35" w:rsidR="00446137" w:rsidRDefault="004461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</w:tbl>
    <w:p w14:paraId="18AB3321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5C7EAF1E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 w:rsidR="00B24DD9">
        <w:rPr>
          <w:rFonts w:ascii="Corbel" w:hAnsi="Corbel"/>
          <w:sz w:val="24"/>
          <w:szCs w:val="24"/>
        </w:rPr>
        <w:t>konwersatorium</w:t>
      </w:r>
      <w:r>
        <w:rPr>
          <w:rFonts w:ascii="Corbel" w:hAnsi="Corbel"/>
          <w:sz w:val="24"/>
          <w:szCs w:val="24"/>
        </w:rPr>
        <w:t xml:space="preserve"> 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7100" w14:textId="77777777" w:rsidR="006E1189" w:rsidRDefault="00727C62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12C4" w14:textId="77777777" w:rsidR="006E1189" w:rsidRDefault="00727C62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F059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6EE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2 godziny</w:t>
            </w:r>
          </w:p>
        </w:tc>
      </w:tr>
      <w:tr w:rsidR="006E1189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07E2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348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E3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6B1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5C7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F2D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D1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1AEC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EF37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09F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0846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360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4A80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D728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EE22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9364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071D03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CE9E" w14:textId="384F9037" w:rsidR="00071D03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4B08" w14:textId="2E1DF80E" w:rsidR="00071D03" w:rsidRDefault="00071D03" w:rsidP="0052256A">
            <w:pPr>
              <w:snapToGrid w:val="0"/>
              <w:spacing w:after="0" w:line="240" w:lineRule="auto"/>
              <w:ind w:left="-250" w:firstLine="250"/>
            </w:pPr>
            <w:r>
              <w:t>15 godzin</w:t>
            </w:r>
          </w:p>
        </w:tc>
      </w:tr>
    </w:tbl>
    <w:p w14:paraId="0050E381" w14:textId="77777777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1D47639E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439FEBCA" w:rsidR="006E1189" w:rsidRDefault="00727C6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502150">
        <w:rPr>
          <w:rFonts w:ascii="Corbel" w:hAnsi="Corbel"/>
          <w:b w:val="0"/>
          <w:smallCaps w:val="0"/>
          <w:szCs w:val="24"/>
        </w:rPr>
        <w:t xml:space="preserve"> </w:t>
      </w:r>
      <w:r w:rsidR="00502150" w:rsidRPr="00502150">
        <w:rPr>
          <w:rFonts w:ascii="Corbel" w:hAnsi="Corbel"/>
          <w:b w:val="0"/>
          <w:smallCaps w:val="0"/>
          <w:szCs w:val="24"/>
        </w:rPr>
        <w:t>konwersatoryjny</w:t>
      </w:r>
      <w:r>
        <w:rPr>
          <w:rFonts w:ascii="Corbel" w:hAnsi="Corbel"/>
          <w:b w:val="0"/>
          <w:smallCaps w:val="0"/>
          <w:szCs w:val="24"/>
        </w:rPr>
        <w:t>, wykład z prezentacją multimedialną, analiza przypadków, dyskusja</w:t>
      </w:r>
    </w:p>
    <w:p w14:paraId="0E59D92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B0D32" w14:textId="7A23B38D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AC34B7" w14:textId="576F1A22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C4A7965" w14:textId="301FF8E0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59B7367" w14:textId="47A721F1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1CDE720" w14:textId="0328A8E5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9E40CD1" w14:textId="4CCC8D89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E5EA8EB" w14:textId="70832BA4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32E1E79" w14:textId="4B53F760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F45FB9C" w14:textId="77777777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C62696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C2FFCB" w14:textId="77777777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ADD5" w14:textId="3C68BEB0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24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CD06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5D4A" w14:textId="4E7F97FF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4A81533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E2E9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ED3E" w14:textId="1A89C515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151D7A6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44B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2BF8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919F" w14:textId="47D76F12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3AB0411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60D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A34C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19078" w14:textId="4E914BE7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4468F6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9547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85AF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4996" w14:textId="271EEAD4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7D6A60E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A8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160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9BD91" w14:textId="10E4B419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B24DD9" w14:paraId="3F73539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85A8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69DB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B8B9" w14:textId="48F8C682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4A79350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C583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FD85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5A35F" w14:textId="70D6E164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019F8987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31167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5789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08AC" w14:textId="34206F44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0B11419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A7C1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7B4C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CBED" w14:textId="0BC00DB1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4B2CE21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959F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B9D9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7F71" w14:textId="0337B777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7D1B6A7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CC72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bookmarkStart w:id="1" w:name="_Hlk95131004"/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E737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EC7D" w14:textId="30FDF4C6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bookmarkEnd w:id="1"/>
      <w:tr w:rsidR="00AE29CA" w14:paraId="7902376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6550" w14:textId="4DE4386B" w:rsidR="00AE29CA" w:rsidRDefault="00AE29CA" w:rsidP="00AE29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E64D6" w14:textId="0A351021" w:rsidR="00AE29CA" w:rsidRDefault="00AE29CA" w:rsidP="00AE29CA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F371E" w14:textId="30B87564" w:rsidR="00AE29CA" w:rsidRPr="00674CBE" w:rsidRDefault="00AE29CA" w:rsidP="00AE29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5131" w14:textId="54F076B5" w:rsidR="006E1189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502150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ustalane na podstawie pisemnych prac studentów, gdzie ocena pozytywna osiągana jest przy uzyskaniu minimum 5</w:t>
            </w:r>
            <w:r w:rsidR="001B61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14:paraId="200AFDE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3919" w14:textId="19A40D5D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E1189" w14:paraId="444D25B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5C5C" w14:textId="6772C9A3" w:rsidR="006E1189" w:rsidRDefault="001B615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DCBC" w14:textId="7B9C256C" w:rsidR="006E1189" w:rsidRDefault="00E9138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56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0413" w14:textId="49928908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14:paraId="3D2906B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6D96" w14:textId="2806EDC6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9F41BB5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17AFF" w14:textId="159FC3D0" w:rsidR="006E1189" w:rsidRDefault="005021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27C62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502150" w14:paraId="0957B118" w14:textId="77777777" w:rsidTr="00502150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B221" w14:textId="77777777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79A5" w14:textId="1686DBB4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02150" w14:paraId="613E1E7C" w14:textId="77777777" w:rsidTr="00502150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ACD4" w14:textId="77777777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02F5" w14:textId="3CCE07ED" w:rsidR="00502150" w:rsidRP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2150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8FDE" w14:textId="43D77172" w:rsidR="006E1189" w:rsidRDefault="00727C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1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280A7E" w14:textId="77777777" w:rsidR="00502150" w:rsidRPr="00502150" w:rsidRDefault="0050215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5EF1562" w14:textId="69E0D5BA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014335C" w14:textId="307D28F8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201</w:t>
            </w:r>
            <w:r w:rsidR="001F529D">
              <w:rPr>
                <w:rFonts w:ascii="Corbel" w:eastAsia="Cambria" w:hAnsi="Corbel"/>
                <w:sz w:val="24"/>
                <w:szCs w:val="24"/>
              </w:rPr>
              <w:t>9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42031355" w14:textId="0903212E" w:rsidR="006E1189" w:rsidRDefault="00E9138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</w:tc>
      </w:tr>
      <w:tr w:rsidR="006E1189" w14:paraId="4CF4124C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9557D" w14:textId="65E36A77" w:rsidR="00E91382" w:rsidRPr="00502150" w:rsidRDefault="00727C62" w:rsidP="00E9138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021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76B662" w14:textId="568C77F9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249F63CE" w14:textId="085C0D4B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62009F81" w14:textId="581CA692" w:rsidR="006E1189" w:rsidRDefault="006E1189" w:rsidP="00E91382">
            <w:pPr>
              <w:spacing w:after="0" w:line="240" w:lineRule="auto"/>
              <w:ind w:left="720"/>
              <w:jc w:val="both"/>
            </w:pPr>
          </w:p>
        </w:tc>
      </w:tr>
    </w:tbl>
    <w:p w14:paraId="4A6EBFCE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3E480" w14:textId="77777777" w:rsidR="00674115" w:rsidRDefault="00674115">
      <w:pPr>
        <w:spacing w:after="0" w:line="240" w:lineRule="auto"/>
      </w:pPr>
      <w:r>
        <w:separator/>
      </w:r>
    </w:p>
  </w:endnote>
  <w:endnote w:type="continuationSeparator" w:id="0">
    <w:p w14:paraId="0DF15C6F" w14:textId="77777777" w:rsidR="00674115" w:rsidRDefault="0067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61267" w14:textId="77777777" w:rsidR="00674115" w:rsidRDefault="00674115">
      <w:r>
        <w:separator/>
      </w:r>
    </w:p>
  </w:footnote>
  <w:footnote w:type="continuationSeparator" w:id="0">
    <w:p w14:paraId="111A7464" w14:textId="77777777" w:rsidR="00674115" w:rsidRDefault="00674115">
      <w:r>
        <w:continuationSeparator/>
      </w:r>
    </w:p>
  </w:footnote>
  <w:footnote w:id="1">
    <w:p w14:paraId="531D598D" w14:textId="77777777" w:rsidR="006E1189" w:rsidRDefault="00727C6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89"/>
    <w:rsid w:val="00060DBF"/>
    <w:rsid w:val="00071D03"/>
    <w:rsid w:val="001B615D"/>
    <w:rsid w:val="001F529D"/>
    <w:rsid w:val="002A50C3"/>
    <w:rsid w:val="002B5ED5"/>
    <w:rsid w:val="00302A31"/>
    <w:rsid w:val="003A3441"/>
    <w:rsid w:val="00446137"/>
    <w:rsid w:val="004B12E4"/>
    <w:rsid w:val="00502150"/>
    <w:rsid w:val="0052256A"/>
    <w:rsid w:val="005519DE"/>
    <w:rsid w:val="00584362"/>
    <w:rsid w:val="00664A2F"/>
    <w:rsid w:val="00674115"/>
    <w:rsid w:val="006E1189"/>
    <w:rsid w:val="00727C62"/>
    <w:rsid w:val="00730020"/>
    <w:rsid w:val="00732B09"/>
    <w:rsid w:val="00826BF3"/>
    <w:rsid w:val="008B14FD"/>
    <w:rsid w:val="00900980"/>
    <w:rsid w:val="00996638"/>
    <w:rsid w:val="009B7623"/>
    <w:rsid w:val="009D484C"/>
    <w:rsid w:val="00A56C86"/>
    <w:rsid w:val="00AD0068"/>
    <w:rsid w:val="00AE29CA"/>
    <w:rsid w:val="00B24DD9"/>
    <w:rsid w:val="00D132DF"/>
    <w:rsid w:val="00D467F8"/>
    <w:rsid w:val="00DB5406"/>
    <w:rsid w:val="00E1613F"/>
    <w:rsid w:val="00E91382"/>
    <w:rsid w:val="00EC4806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4D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4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DD9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D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DD9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2DAD6-BA92-4483-B003-92AB3B36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Pikus</cp:lastModifiedBy>
  <cp:revision>8</cp:revision>
  <dcterms:created xsi:type="dcterms:W3CDTF">2021-10-26T07:37:00Z</dcterms:created>
  <dcterms:modified xsi:type="dcterms:W3CDTF">2022-11-29T14:02:00Z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